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Минприроды России от 09.11.2020 N 912</w:t>
              <w:br/>
              <w:t xml:space="preserve">(ред. от 12.05.2022)</w:t>
              <w:br/>
              <w:t xml:space="preserve">"Об утверждении Правил осуществления мероприятий по предупреждению распространения вредных организмов"</w:t>
              <w:br/>
              <w:t xml:space="preserve">(Зарегистрировано в Минюсте России 16.12.2020 N 61509)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25.02.2026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16 декабря 2020 г. N 61509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ПРИРОДНЫХ РЕСУРСОВ И ЭКОЛОГИИ</w:t>
      </w:r>
    </w:p>
    <w:p>
      <w:pPr>
        <w:pStyle w:val="2"/>
        <w:jc w:val="center"/>
      </w:pPr>
      <w:r>
        <w:rPr>
          <w:sz w:val="24"/>
        </w:rPr>
        <w:t xml:space="preserve">РОССИЙСКОЙ ФЕДЕРАЦИИ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9 ноября 2020 г. N 912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ПРАВИЛ</w:t>
      </w:r>
    </w:p>
    <w:p>
      <w:pPr>
        <w:pStyle w:val="2"/>
        <w:jc w:val="center"/>
      </w:pPr>
      <w:r>
        <w:rPr>
          <w:sz w:val="24"/>
        </w:rPr>
        <w:t xml:space="preserve">ОСУЩЕСТВЛЕНИЯ МЕРОПРИЯТИЙ ПО ПРЕДУПРЕЖДЕНИЮ</w:t>
      </w:r>
    </w:p>
    <w:p>
      <w:pPr>
        <w:pStyle w:val="2"/>
        <w:jc w:val="center"/>
      </w:pPr>
      <w:r>
        <w:rPr>
          <w:sz w:val="24"/>
        </w:rPr>
        <w:t xml:space="preserve">РАСПРОСТРАНЕНИЯ ВРЕДНЫХ ОРГАНИЗМОВ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hyperlink w:history="0" r:id="rId8" w:tooltip="Приказ Минприроды России от 12.05.2022 N 331 &quot;О внесении изменения в Правила осуществления мероприятий по предупреждению распространения вредных организмов, утвержденные приказом Минприроды России от 09.11.2020 N 912&quot; (Зарегистрировано в Минюсте России 16.08.2022 N 69660) {КонсультантПлюс}">
              <w:r>
                <w:rPr>
                  <w:sz w:val="24"/>
                  <w:color w:val="0000ff"/>
                </w:rPr>
                <w:t xml:space="preserve">Приказа</w:t>
              </w:r>
            </w:hyperlink>
            <w:r>
              <w:rPr>
                <w:sz w:val="24"/>
                <w:color w:val="392c69"/>
              </w:rPr>
              <w:t xml:space="preserve"> Минприроды России от 12.05.2022 N 331)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9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5 статьи 60.7</w:t>
        </w:r>
      </w:hyperlink>
      <w:r>
        <w:rPr>
          <w:sz w:val="24"/>
        </w:rPr>
        <w:t xml:space="preserve"> Лесного кодекса Российской Федерации (Собрание законодательства, 2006, N 50, ст. 5278; 2018, N 53, ст. 8464) и </w:t>
      </w:r>
      <w:hyperlink w:history="0" r:id="rId10" w:tooltip="Постановление Правительства РФ от 11.11.2015 N 1219 (ред. от 24.04.2025) &quot;Об утверждении Положения о Министерстве природных ресурсов и экологии Российской Федерации и об изменении и признании утратившими силу некоторых актов Правительства Российской Федерации&quot; (с изм. и доп., вступ. в силу с 01.09.2025) {КонсультантПлюс}">
        <w:r>
          <w:rPr>
            <w:sz w:val="24"/>
            <w:color w:val="0000ff"/>
          </w:rPr>
          <w:t xml:space="preserve">подпунктом 5.2.141(2)</w:t>
        </w:r>
      </w:hyperlink>
      <w:r>
        <w:rPr>
          <w:sz w:val="24"/>
        </w:rP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11 ноября 2015 г. N 1219 (Собрание законодательства Российской Федерации, 2015, N 47, ст. 6586; 2020, N 42, ст. 6635), приказываю: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3" w:tooltip="ПРАВИЛА">
        <w:r>
          <w:rPr>
            <w:sz w:val="24"/>
            <w:color w:val="0000ff"/>
          </w:rPr>
          <w:t xml:space="preserve">Правила</w:t>
        </w:r>
      </w:hyperlink>
      <w:r>
        <w:rPr>
          <w:sz w:val="24"/>
        </w:rPr>
        <w:t xml:space="preserve"> осуществления мероприятий по предупреждению распространения вредных организмов.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Настоящий приказ вступает в силу с 1 января 2021 года и действует до 1 января 2027 года.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природных ресурсов и экологии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Д.Н.КОБЫЛКИН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приказом Минприроды России</w:t>
      </w:r>
    </w:p>
    <w:p>
      <w:pPr>
        <w:pStyle w:val="0"/>
        <w:jc w:val="right"/>
      </w:pPr>
      <w:r>
        <w:rPr>
          <w:sz w:val="24"/>
        </w:rPr>
        <w:t xml:space="preserve">от 09.11.2020 N 912</w:t>
      </w:r>
    </w:p>
    <w:p>
      <w:pPr>
        <w:pStyle w:val="0"/>
        <w:jc w:val="both"/>
      </w:pPr>
      <w:r>
        <w:rPr>
          <w:sz w:val="24"/>
        </w:rPr>
      </w:r>
    </w:p>
    <w:bookmarkStart w:id="33" w:name="P33"/>
    <w:bookmarkEnd w:id="33"/>
    <w:p>
      <w:pPr>
        <w:pStyle w:val="2"/>
        <w:jc w:val="center"/>
      </w:pPr>
      <w:r>
        <w:rPr>
          <w:sz w:val="24"/>
        </w:rPr>
        <w:t xml:space="preserve">ПРАВИЛА</w:t>
      </w:r>
    </w:p>
    <w:p>
      <w:pPr>
        <w:pStyle w:val="2"/>
        <w:jc w:val="center"/>
      </w:pPr>
      <w:r>
        <w:rPr>
          <w:sz w:val="24"/>
        </w:rPr>
        <w:t xml:space="preserve">ОСУЩЕСТВЛЕНИЯ МЕРОПРИЯТИЙ ПО ПРЕДУПРЕЖДЕНИЮ</w:t>
      </w:r>
    </w:p>
    <w:p>
      <w:pPr>
        <w:pStyle w:val="2"/>
        <w:jc w:val="center"/>
      </w:pPr>
      <w:r>
        <w:rPr>
          <w:sz w:val="24"/>
        </w:rPr>
        <w:t xml:space="preserve">РАСПРОСТРАНЕНИЯ ВРЕДНЫХ ОРГАНИЗМОВ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hyperlink w:history="0" r:id="rId11" w:tooltip="Приказ Минприроды России от 12.05.2022 N 331 &quot;О внесении изменения в Правила осуществления мероприятий по предупреждению распространения вредных организмов, утвержденные приказом Минприроды России от 09.11.2020 N 912&quot; (Зарегистрировано в Минюсте России 16.08.2022 N 69660) {КонсультантПлюс}">
              <w:r>
                <w:rPr>
                  <w:sz w:val="24"/>
                  <w:color w:val="0000ff"/>
                </w:rPr>
                <w:t xml:space="preserve">Приказа</w:t>
              </w:r>
            </w:hyperlink>
            <w:r>
              <w:rPr>
                <w:sz w:val="24"/>
                <w:color w:val="392c69"/>
              </w:rPr>
              <w:t xml:space="preserve"> Минприроды России от 12.05.2022 N 331)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I. Общие положения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Предупреждение распространения вредных организмов в лесах включает в себя проведение: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профилактических мероприятий по защите лесов;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санитарно-оздоровительных мероприятий, в том числе рубок погибших и поврежденных лесных насаждений;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других определенных уполномоченным федеральным органом исполнительной власти мероприятий &lt;1&gt;.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&lt;1&gt; </w:t>
      </w:r>
      <w:hyperlink w:history="0" r:id="rId12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1 статьи 60.7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50; 2020, N 31, ст. 5028)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Проведение мероприятий по предупреждению распространения вредных организмов обеспечивается органами исполнительной власти и органами местного самоуправления в пределах полномочий, определенных в соответствии со </w:t>
      </w:r>
      <w:hyperlink w:history="0" r:id="rId13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статьями 81</w:t>
        </w:r>
      </w:hyperlink>
      <w:r>
        <w:rPr>
          <w:sz w:val="24"/>
        </w:rPr>
        <w:t xml:space="preserve"> - </w:t>
      </w:r>
      <w:hyperlink w:history="0" r:id="rId14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84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50; 2020, N 31, ст. 5028) (далее - уполномоченные органы) (далее - Лесной кодекс) в соответствии с правилами санитарной безопасности в лесах, утверждаемыми Правительством Российской Федерации в соответствии с </w:t>
      </w:r>
      <w:hyperlink w:history="0" r:id="rId15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3 статьи 60.3</w:t>
        </w:r>
      </w:hyperlink>
      <w:r>
        <w:rPr>
          <w:sz w:val="24"/>
        </w:rPr>
        <w:t xml:space="preserve"> Лесного кодекса.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Мероприятия по предупреждению распространения вредных организмов на лесных участках, предоставленных в постоянное (бессрочное) пользование, аренду, осуществляются лицами, использующими леса, на основании проекта освоения лесов; на лесных участках, не предоставленных в постоянное (бессрочное) пользование, аренду уполномоченными органами.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Мероприятия по предупреждению распространения вредных организмов осуществляются в соответствии со </w:t>
      </w:r>
      <w:hyperlink w:history="0" r:id="rId16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статьей 19</w:t>
        </w:r>
      </w:hyperlink>
      <w:r>
        <w:rPr>
          <w:sz w:val="24"/>
        </w:rPr>
        <w:t xml:space="preserve"> Лесного кодекса.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Документированная информация, подтверждающая осуществление мероприятий по предупреждению распространения вредных организмов и иных мер санитарной безопасности в лесах, представляется для внесения в государственный лесной реестр в порядке, установленном </w:t>
      </w:r>
      <w:hyperlink w:history="0" r:id="rId17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9 статьи 91</w:t>
        </w:r>
      </w:hyperlink>
      <w:r>
        <w:rPr>
          <w:sz w:val="24"/>
        </w:rPr>
        <w:t xml:space="preserve"> Лесного кодекса, а информация в части проведения сплошных и выборочных санитарных рубок, рубок аварийных деревьев представляется в Единую государственную автоматизированную информационную систему учета древесины и сделок с ней.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лесах, расположенных на особо охраняемых природных территориях, проведение мероприятий по предупреждению распространения вредных организмов осуществляется с учетом особенностей режима особой охраны территорий.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Не допускается осуществление мероприятий по предупреждению распространения вредных организмов: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в случае, если такие мероприятия не предусмотрены соответствующим актом лесопатологического обследования;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в случае, если уполномоченным федеральным органом исполнительной власти направлено предписание об отмене соответствующего акта лесопатологического обследования или о внесении в него изменений;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в течение двадцати дней после размещения в соответствии с </w:t>
      </w:r>
      <w:hyperlink w:history="0" r:id="rId18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3 статьи 60.6</w:t>
        </w:r>
      </w:hyperlink>
      <w:r>
        <w:rPr>
          <w:sz w:val="24"/>
        </w:rPr>
        <w:t xml:space="preserve"> Лесного кодекса акта лесопатологического обследования на официальном сайте органа государственной власти или органа местного самоуправления в информационно-телекоммуникационной сети "Интернет". &lt;2&gt;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&lt;2&gt; </w:t>
      </w:r>
      <w:hyperlink w:history="0" r:id="rId19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4 статьи 60.7</w:t>
        </w:r>
      </w:hyperlink>
      <w:r>
        <w:rPr>
          <w:sz w:val="24"/>
        </w:rPr>
        <w:t xml:space="preserve"> Лесного кодекса (Собрание законодательства Российской Федерации, 2006, N 50, ст. 5278; 2018, N 53, ст. 8464)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8. В случае выявления в лесах вредных организмов, отнесенных к карантинным объектам, для профилактики их распространения осуществляется комплекс мероприятий в соответствии с законодательством Российской Федерации в области карантина растений в части, не противоречащей лесному законодательству.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II. Профилактические мероприятия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9. Профилактические мероприятия направлены на повышение устойчивости лесов и предотвращение неблагоприятных воздействий на леса.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10. Профилактические мероприятия проводятся с целью предотвращения формирования очагов вредных лесных организмов и (или) с целью предотвращения нанесения ущерба лесам вредными лесными организмами и осуществляются как на постоянной основе в течение ряда лет, так и в течение одного - двух лет.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11. Профилактические мероприятия планируются на основании прогноза развития вспышек массового размножения вредных лесных организмов в лесах, в которых прогнозируется формирование очагов, или в случае, когда применение иных мер защиты леса запрещено федеральными законами.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Результаты планирования профилактических мероприятий отражаются в лесном плане субъекта Российской Федерации, лесохозяйственных регламентах и проектах освоения лесов.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 Основанием для назначения профилактических мероприятий являются результаты лесопатологических обследований (далее - ЛПО).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13. Профилактические мероприятия подразделяются на лесохозяйственные и биотехнические.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14. К профилактическим лесохозяйственным мероприятиям относятся: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использование удобрений и минеральных добавок для повышения устойчивости лесных насаждений в неблагоприятные периоды (засуха, повреждение насекомыми);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лечение деревьев;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применение пестицидов и биологических средств защиты леса для предотвращения появления очагов вредных организмов.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15. Лечение деревьев осуществляется в первую очередь на лесных участках, предоставленных для осуществления рекреационной деятельности. Лечение деревьев заключается в обрезке отдельных усыхающих и поврежденных ветвей, удалении плодовых тел дереворазрушающих грибов, лечении ран, санации дупел.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16. Применение пестицидов и биологических средств защиты леса, в том числе способом внутристволового инъектирования деревьев, для предотвращения появления очагов вредных организмов в первую очередь производится на участках ценных лесов, объектах лесного семеноводства, в питомниках, лесах, расположенных вблизи населенных пунктов, на основании прогнозных данных на начальной фазе развития очага вредного организма. При этом не допускается использование пестицидов, которые не внесены в Государственный каталог пестицидов и агрохимикатов, разрешенных к применению на территории Российской Федерации, действующий на период проведения мероприятий (далее - пестициды).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17. Внутристволовое инъектирование деревьев осуществляется с целью снижения численности стволовых вредителей, гнилевых, сосудистых и иных болезней с использованием пестицидов и регламентов их применения.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18. Профилактическими биотехническими мероприятиями являются: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улучшение условий обитания и размножения насекомоядных птиц и других насекомоядных животных;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охрана местообитаний, выпуск, расселение и интродукция насекомых-энтомофагов;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посев травянистых нектароносных растений;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использование феромонов.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19. Улучшение условий обитания и размножения насекомоядных птиц и других насекомоядных животных заключается в их охране, посадке деревьев и кустарников для гнездования, развешивании скворечников и дуплянок, подкормке, посадке ремиз (полос или куртин из древесных или кустарниковых растений, служащих местами укрытия и кормления полезных птиц), сохранении и создании в лесу источников воды.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20. Охрана местообитаний насекомых-энтомофагов заключается в создании условий, способствующих поддержанию численности природных популяций энтомофагов в конкретных участках леса, а также обеспечивающих их сохранение и накопление.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21. Использование энтомофагов в качестве средства профилактики формирования очагов и (или) предотвращения нанесения ущерба лесам осуществляется следующими методами: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выпуск энтомофагов (метод сезонной колонизации) - лабораторное разведение и выпуск накопленного запаса энтомофагов на лесных участках;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расселение энтомофагов (внутриареальное расселение) - массовое переселение специализированных паразитов и хищников (олигофагов), возбудителей заболеваний из старых очагов вредных организмов во вновь возникающие очаги в пределах зоны, где эти естественные враги отсутствуют или еще не накопились.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интродукция энтомофагов - изыскание эффективных естественных врагов на родине вредителя и их последующее переселение (акклиматизация) в новые районы.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22. Посев травянистых нектароносных растений производится в непосредственной близости от лесотаксационных выделов или их частей, на которых возникают очаги вредных насекомых, или по опушкам этих лесотаксационных выделов или их частей.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23. Использование феромонов необходимо для раннего выявления очагов, отслеживания динамики численности популяций вредителей, а в определенных случаях - и для их истребления путем массового отлова, а также для определения сроков проведения защитных мероприятий и оценки их эффективности.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III. Санитарно-оздоровительные мероприятия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24. Санитарно-оздоровительные мероприятия (далее - СОМ) проводятся с целью улучшения санитарного и лесопатологического состояния лесных насаждений, уменьшения угрозы распространения вредных организмов, борьбы с вредителями и болезнями леса, обеспечения лесными насаждениями своих целевых функций, а также снижения ущерба от воздействия неблагоприятных факторов (воздействие огня, погодные условия, почвенно-климатические факторы и другие, биотические и абиотические факторы, наносящие ущерб устойчивости или целевой функции лесов).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25. СОМ назначают в первую очередь в насаждениях, поврежденных пожаром, ветром, снегом, засухой, промышленными выбросами или иными неблагоприятными факторами, а также в очагах болезней леса и массового размножения вредных насекомых, вызвавших повреждение и гибель деревьев в размерах, угрожающих целостности и устойчивости лесных насаждений, нарушению их целевых функций.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проведении СОМ должны соблюдаться требования охраны животного мира, редких и исчезающих видов растений и уникальных растительных сообществ.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26. К СОМ относятся рубка погибших (утративших жизнеспособность в результате воздействия неблагоприятных факторов) и поврежденных (имеющих видимые признаки воздействия неблагоприятных факторов) лесных насаждений, уборка неликвидной древесины (уборка как поваленных, так и стоящих деревьев, древесина которых оставляется на перегнивание на лесосеке).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27. Планирование объемов СОМ отражается в лесном плане субъекта Российской Федерации, лесохозяйственном регламенте лесничества на основании данных государственного лесопатологического мониторинга и/или ЛПО.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28. Сведения о видах и объемах СОМ, планируемых к проведению лицами, использующими леса на основании договора аренды, решения о передаче лесного участка в постоянное (бессрочное) пользование, отражаются в лесной декларации.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29. При распределении объемов СОМ по кварталам года учитываются степень и время повреждения лесных насаждений, биология древесной породы, вредных насекомых и возбудителей заболеваний. Во избежание распространения инфекции сплошные и выборочные санитарные рубки следует проводить преимущественно в зимний период.</w:t>
      </w:r>
    </w:p>
    <w:bookmarkStart w:id="100" w:name="P100"/>
    <w:bookmarkEnd w:id="10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30. СОМ не планируются в лесных насаждениях 4 и 5 бонитетов, за исключением случаев угрозы возникновения и распространения в этих лесных насаждениях очагов вредных организмов, а также в лесничествах, где лесные насаждения данных бонитетов являются преобладающими.</w:t>
      </w:r>
    </w:p>
    <w:bookmarkStart w:id="101" w:name="P101"/>
    <w:bookmarkEnd w:id="10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31. СОМ планируются в защитных и эксплуатационных лесах, кроме заповедных участков.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32. Отвод лесосек для проведения СОМ проводится в вегетационный период, кроме лесотаксационных выделов или их частей, поврежденных ветрами и верховыми пожарами, или в чистых по составу вечнозеленых лесных насаждениях (8 и более единиц вечнозеленых и хвойных пород в составе насаждений, за исключением лиственницы).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33. Размер лесосек и сроки примыкания для проведения СОМ не лимитируется. Доля ликвидной, в том числе деловой древесины, устанавливается на основании материальной оценки лесосек.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34. Рубка погибших и поврежденных лесных насаждений проводится в форме сплошной (для погибших и поврежденных насаждений) и выборочной (для поврежденных насаждений) санитарной рубки.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35. При проведении сплошных санитарных рубок в лесных насаждениях обязательным условием является обеспечение лесовосстановления способами, предусмотренными правилами лесовосстановления, утверждаемыми уполномоченным федеральным органом исполнительной власти в соответствии с </w:t>
      </w:r>
      <w:hyperlink w:history="0" r:id="rId20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3 статьи 62</w:t>
        </w:r>
      </w:hyperlink>
      <w:r>
        <w:rPr>
          <w:sz w:val="24"/>
        </w:rPr>
        <w:t xml:space="preserve"> Лесного кодекса.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С 01.01.2022 ст. 29 изложена в новой редакции. Положения </w:t>
            </w:r>
            <w:hyperlink w:history="0" r:id="rId21" w:tooltip="&quot;Лесной кодекс Российской Федерации&quot; от 04.12.2006 N 200-ФЗ (ред. от 02.07.2021) (с изм. и доп., вступ. в силу с 01.09.2021) ------------ Недействующая редакция {КонсультантПлюс}">
              <w:r>
                <w:rPr>
                  <w:sz w:val="24"/>
                  <w:color w:val="0000ff"/>
                </w:rPr>
                <w:t xml:space="preserve">ч. 9 ст. 29</w:t>
              </w:r>
            </w:hyperlink>
            <w:r>
              <w:rPr>
                <w:sz w:val="24"/>
                <w:color w:val="392c69"/>
              </w:rPr>
              <w:t xml:space="preserve"> прежней редакции см. в </w:t>
            </w:r>
            <w:hyperlink w:history="0" r:id="rId22" w:tooltip="&quot;Лесной кодекс Российской Федерации&quot; от 04.12.2006 N 200-ФЗ (ред. от 29.12.2025) {КонсультантПлюс}">
              <w:r>
                <w:rPr>
                  <w:sz w:val="24"/>
                  <w:color w:val="0000ff"/>
                </w:rPr>
                <w:t xml:space="preserve">ч. 11 ст. 29</w:t>
              </w:r>
            </w:hyperlink>
            <w:r>
              <w:rPr>
                <w:sz w:val="24"/>
                <w:color w:val="392c69"/>
              </w:rPr>
              <w:t xml:space="preserve"> новой редакции.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00" w:lineRule="auto"/>
        <w:ind w:firstLine="540"/>
        <w:jc w:val="both"/>
      </w:pPr>
      <w:r>
        <w:rPr>
          <w:sz w:val="24"/>
        </w:rPr>
        <w:t xml:space="preserve">На лесосеках, на которых осуществляются сплошные санитарные рубки в спелых и перестойных лесных насаждениях при содействии естественному восстановлению лесов, сохраняются выделенные при отводе лесосек источники обсеменения, к которым относятся единичные семенники, семенные группы, куртины, полосы, семенные деревья согласно с </w:t>
      </w:r>
      <w:hyperlink w:history="0" r:id="rId23" w:tooltip="Приказ Минприроды России от 01.12.2020 N 993 (ред. от 17.10.2022) &quot;Об утверждении Правил заготовки древесины и особенностей заготовки древесины в лесничествах, указанных в статье 23 Лесного кодекса Российской Федерации&quot; (Зарегистрировано в Минюсте России 18.12.2020 N 61553) {КонсультантПлюс}">
        <w:r>
          <w:rPr>
            <w:sz w:val="24"/>
            <w:color w:val="0000ff"/>
          </w:rPr>
          <w:t xml:space="preserve">правилам</w:t>
        </w:r>
      </w:hyperlink>
      <w:r>
        <w:rPr>
          <w:sz w:val="24"/>
        </w:rPr>
        <w:t xml:space="preserve"> заготовки древесины, утверждаемым уполномоченным федеральным органом исполнительной власти в соответствии с </w:t>
      </w:r>
      <w:hyperlink w:history="0" r:id="rId24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9 статьи 29</w:t>
        </w:r>
      </w:hyperlink>
      <w:r>
        <w:rPr>
          <w:sz w:val="24"/>
        </w:rPr>
        <w:t xml:space="preserve"> Лесного кодекса.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36. В поврежденных и погибших молодняках проводится уборка неликвидной древесины, при наличии погибших семенников проводятся выборочные санитарные рубки и (или) уборка неликвидной древесины.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37. В эксплуатационных лесах выборочные санитарные рубки проводятся при наличии патологического отпада (деревья, заселенные стволовыми вредителями, сухостой, ветровал, бурелом), объем которого в лесных насаждениях на лесотаксационном выделе или его части в 2 и более раз превышает объем естественного отпада (деревья, отмершие в результате самоизреживания древостоя), величина которого определяется по таблицам хода роста древостоя, отражающим закономерности хода роста лесных насаждений на соответствующей территории. В защитных лесах интенсивность выборочной санитарной рубки определяется в соответствии с правилами заготовки древесины.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38. Отвод лесосек под санитарные сплошные и выборочные рубки производится по результатам ЛПО, проводимого инструментальным способом в соответствии с правилами заготовки древесины.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39. Уменьшение периметра лесосеки (уменьшение количества углов поворота) при отводе в сплошную и выборочную санитарную рубку допускается в пределах, не превышающих 10% от площади погибшего или поврежденного участка леса.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40. На визирах лесосек, отводимых в выборочную санитарную рубку, деревья не срубаются, и визиры расчищаются за счет обрубки сучьев и веток, а также рубки кустарника.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41. При назначении сплошной и выборочной санитарной рубки отбираются деревья 5-й категории состояния. Ветровал, бурелом и снеголом относят к 5-й категории состояния.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42. Допускается назначение в санитарную рубку деревьев иных категорий состояния в следующих случаях.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защитных и эксплуатационных лесах: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деревья хвойных пород 4-й категории состояния;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деревья 3 - 4-й категорий состояния (сильно ослабленные и усыхающие) назначаются в рубку при повреждении корневой губкой (в сосняках) и деревья различных видов вяза - при повреждении голландской болезнью;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деревья осины 4-й категорий состояния - при повреждении осиновым трутовиком;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лесных насаждениях, пройденных лесным пожаром текущего года, в течение одного года после его ликвидации: деревья с наличием обугленности древесины корневой шейки не менее 3/4 окружности ствола (при этом обязательно наличие пробной площади с раскопкой корневой шейки не менее чем у 100 деревьев) или высушивания луба не менее 3/4 окружности ствола (наличие пробной площади также обязательно), деревья мягколиственных пород с обугленностью древесины не менее 1/2 окружности ствола и 1/3 высоты.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эксплуатационных лесах деревья 3 - 4-й категорий состояния при наличии на стволах явных признаков гнилей (дупла, плодовые тела трутовиков, раковые раны, охватывающие более 2/3 окружности ствола); деревья ели и пихты, имеющие повреждения коры лосем и другими животными более 2/3 окружности ствола.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43. На непокрытых лесом землях лесного фонда при наличии согласно </w:t>
      </w:r>
      <w:hyperlink w:history="0" w:anchor="P100" w:tooltip="30. СОМ не планируются в лесных насаждениях 4 и 5 бонитетов, за исключением случаев угрозы возникновения и распространения в этих лесных насаждениях очагов вредных организмов, а также в лесничествах, где лесные насаждения данных бонитетов являются преобладающими.">
        <w:r>
          <w:rPr>
            <w:sz w:val="24"/>
            <w:color w:val="0000ff"/>
          </w:rPr>
          <w:t xml:space="preserve">пункту 30</w:t>
        </w:r>
      </w:hyperlink>
      <w:r>
        <w:rPr>
          <w:sz w:val="24"/>
        </w:rPr>
        <w:t xml:space="preserve"> и </w:t>
      </w:r>
      <w:hyperlink w:history="0" w:anchor="P101" w:tooltip="31. СОМ планируются в защитных и эксплуатационных лесах, кроме заповедных участков.">
        <w:r>
          <w:rPr>
            <w:sz w:val="24"/>
            <w:color w:val="0000ff"/>
          </w:rPr>
          <w:t xml:space="preserve">31</w:t>
        </w:r>
      </w:hyperlink>
      <w:r>
        <w:rPr>
          <w:sz w:val="24"/>
        </w:rPr>
        <w:t xml:space="preserve"> настоящих Правил деревьев, подлежащих рубке, проводятся санитарные рубки и (или) уборка неликвидной древесины.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44. Отбор деревьев в выборочную и сплошную санитарную рубку при повреждении хвое- и листогрызущими насекомыми производится после завершения периода восстановления хвои (листвы).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45. На лесосеках выборочных санитарных рубок трассы магистральных и пасечных волоков должны размещаться с учетом максимально возможного сохранения деревьев, не назначенных в рубку. Прокладка волоков должна осуществляться по намеченным визирам с обязательным использованием предельных допустимых промежутков между оставляемыми деревьями (и подростом) при плавном отклонении от прямой. На пасеках участков выборочных санитарных рубок не допускается рубка здоровых деревьев и оставление деревьев, назначенных в рубку.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46. При выборочной санитарной рубке жизнеспособные деревья с дуплами в количестве 5 - 10 шт./га оставляются в целях обеспечения естественными укрытиями представителей животного мира.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С 01.01.2022 ст. 29 изложена в новой редакции. Положения </w:t>
            </w:r>
            <w:hyperlink w:history="0" r:id="rId25" w:tooltip="&quot;Лесной кодекс Российской Федерации&quot; от 04.12.2006 N 200-ФЗ (ред. от 02.07.2021) (с изм. и доп., вступ. в силу с 01.09.2021) ------------ Недействующая редакция {КонсультантПлюс}">
              <w:r>
                <w:rPr>
                  <w:sz w:val="24"/>
                  <w:color w:val="0000ff"/>
                </w:rPr>
                <w:t xml:space="preserve">ч. 6 ст. 29</w:t>
              </w:r>
            </w:hyperlink>
            <w:r>
              <w:rPr>
                <w:sz w:val="24"/>
                <w:color w:val="392c69"/>
              </w:rPr>
              <w:t xml:space="preserve"> прежней редакции см. в </w:t>
            </w:r>
            <w:hyperlink w:history="0" r:id="rId26" w:tooltip="&quot;Лесной кодекс Российской Федерации&quot; от 04.12.2006 N 200-ФЗ (ред. от 29.12.2025) {КонсультантПлюс}">
              <w:r>
                <w:rPr>
                  <w:sz w:val="24"/>
                  <w:color w:val="0000ff"/>
                </w:rPr>
                <w:t xml:space="preserve">ч. 7 ст. 29</w:t>
              </w:r>
            </w:hyperlink>
            <w:r>
              <w:rPr>
                <w:sz w:val="24"/>
                <w:color w:val="392c69"/>
              </w:rPr>
              <w:t xml:space="preserve"> новой редакции.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00" w:lineRule="auto"/>
        <w:ind w:firstLine="540"/>
        <w:jc w:val="both"/>
      </w:pPr>
      <w:r>
        <w:rPr>
          <w:sz w:val="24"/>
        </w:rPr>
        <w:t xml:space="preserve">47. Для лесных растений, относящихся к видам, занесенным в Красную книгу Российской Федерации или в красные книги субъектов Российской Федерации, а также включенных в перечень видов (пород) деревьев и кустарников, заготовка древесины которых не допускается, утверждаемый уполномоченным федеральным органом исполнительной власти в соответствии с </w:t>
      </w:r>
      <w:hyperlink w:history="0" r:id="rId27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6 статьи 29</w:t>
        </w:r>
      </w:hyperlink>
      <w:r>
        <w:rPr>
          <w:sz w:val="24"/>
        </w:rPr>
        <w:t xml:space="preserve"> Лесного кодекса, разрешается рубка только погибших экземпляров в соответствии с законодательством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48. Выборочная санитарная рубка не должна приводить к нарушению жизнеспособности насаждений, значительному снижению их целостности, продуктивности или целевых свойств лесов.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49. После проведения выборочных санитарных рубок полнота лесных насаждений не должна быть ниже установленных в соответствии с </w:t>
      </w:r>
      <w:hyperlink w:history="0" w:anchor="P177" w:tooltip="МИНИМАЛЬНЫЕ ДОПУСТИМЫЕ ЗНАЧЕНИЯ">
        <w:r>
          <w:rPr>
            <w:sz w:val="24"/>
            <w:color w:val="0000ff"/>
          </w:rPr>
          <w:t xml:space="preserve">приложением 1</w:t>
        </w:r>
      </w:hyperlink>
      <w:r>
        <w:rPr>
          <w:sz w:val="24"/>
        </w:rPr>
        <w:t xml:space="preserve"> к настоящим Правилам минимальных допустимых значений полноты, до которых назначаются выборочные санитарные рубки.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50. В лесных насаждениях, для которых в естественных условиях характерно низкополнотное произрастание древостоев, снижение полноты после выборочных санитарных рубок не лимитируется. К таким лесным насаждениям относятся: можжевеловые, арчовые, саксауловые, высокогорные кедрачи.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51. В спелых и перестойных насаждениях в эксплуатационных лесах, за исключением особо защитных участков лесов, выборочные санитарные рубки не проводятся. При наличии в них повышенного текущего отпада они планируются в рубку для заготовки древесины в первую очередь.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52. В лесных насаждениях с участием ели, пихты в составе 70% и более проведение выборочных рубок запрещается, за исключением случаев, когда полнота в данной категории защитности не лимитируется (</w:t>
      </w:r>
      <w:hyperlink w:history="0" w:anchor="P177" w:tooltip="МИНИМАЛЬНЫЕ ДОПУСТИМЫЕ ЗНАЧЕНИЯ">
        <w:r>
          <w:rPr>
            <w:sz w:val="24"/>
            <w:color w:val="0000ff"/>
          </w:rPr>
          <w:t xml:space="preserve">приложение 1</w:t>
        </w:r>
      </w:hyperlink>
      <w:r>
        <w:rPr>
          <w:sz w:val="24"/>
        </w:rPr>
        <w:t xml:space="preserve"> к настоящим Правилам).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53. Санитарная рубка считается сплошной, если вырубается весь древостой на выделе или лесопатологическом выделе. При неоднородности санитарного и лесопатологического состояния насаждения на лесотаксационном выделе куртины насаждений без признаков ослабления не подлежат рубке и не включаются в эксплуатационную площадь лесосек.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54. Сплошная санитарная рубка проводится в лесных насаждениях, в которых после уборки деревьев, подлежащих рубке, полнота становится ниже предельных величин, при которых обеспечивается способность древостоев выполнять целевые функции (</w:t>
      </w:r>
      <w:hyperlink w:history="0" w:anchor="P177" w:tooltip="МИНИМАЛЬНЫЕ ДОПУСТИМЫЕ ЗНАЧЕНИЯ">
        <w:r>
          <w:rPr>
            <w:sz w:val="24"/>
            <w:color w:val="0000ff"/>
          </w:rPr>
          <w:t xml:space="preserve">приложение 1</w:t>
        </w:r>
      </w:hyperlink>
      <w:r>
        <w:rPr>
          <w:sz w:val="24"/>
        </w:rPr>
        <w:t xml:space="preserve"> к настоящим Правилам). Расчет фактической полноты древостоя обеспечивается при проведении ЛПО.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55. Сплошные санитарные рубки в защитных лесах осуществляются в случаях, если насаждения полностью утрачивают свои целевые функции и если выборочные рубки не обеспечивают замену лесных насаждений, утрачивающих свои средообразующие, водоохранные, санитарно-гигиенические, оздоровительные и иные полезные функции, на лесные насаждения, обеспечивающие сохранение целевого назначения защитных лесов и выполняемых ими полезных функций.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56. Порубочные остатки после выборочных и сплошных санитарных рубок подлежат сжиганию, измельчению, обработке пестицидами или вывозу в места, предназначенные для переработки древесины.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57. Уборка неликвидной древесины проводится в местах образования ветровала, бурелома, снеголома, верховых пожаров и других повреждений при наличии неликвидной и дровяной древесины более 90% от общего запаса погибших и поврежденных деревьев, а также в случаях, когда заготовка древесины погибших или поврежденных насаждений запрещена.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первую очередь уборка неликвидной древесины производится в лесах, выполняющих функции защиты природных и иных объектов, а также в ценных лесах. На землях другого целевого назначения и иных категорий защитных лесов уборка неликвидной древесины производится в случае, если создается угроза пожарной опасности в лесах и возникновения очагов вредных организмов.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случаях, когда лесные насаждения, в которых требуется проведение сплошной или выборочной санитарных рубок, расположены в лесах, где заготовка древесины запрещена законодательством &lt;1&gt;, уборка неликвидной древесины проводится независимо от запаса неликвидной и дровяной древесины с оставлением срубленной древесины на лесосеке. При этом в целях недопущения распространения стволовых вредителей оставленная древесина подлежит сжиганию в соответствии с </w:t>
      </w:r>
      <w:hyperlink w:history="0" r:id="rId28" w:tooltip="Постановление Правительства РФ от 07.10.2020 N 1614 &quot;Об утверждении Правил пожарной безопасности в лесах&quot; {КонсультантПлюс}">
        <w:r>
          <w:rPr>
            <w:sz w:val="24"/>
            <w:color w:val="0000ff"/>
          </w:rPr>
          <w:t xml:space="preserve">Правилами</w:t>
        </w:r>
      </w:hyperlink>
      <w:r>
        <w:rPr>
          <w:sz w:val="24"/>
        </w:rPr>
        <w:t xml:space="preserve"> пожарной безопасности в лесах, утвержденными постановлением Правительства Российской Федерации от 07.10.2020 N 1614 "Об утверждении Правил пожарной безопасности в лесах" (Собрание законодательства Российской Федерации, 2020, N 42, ст. 6581), измельчению (на отрезки не более 30 см), обработке пестицидами или окариванию (кора измельчается или сжигается).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hyperlink w:history="0" r:id="rId29" w:tooltip="Приказ Минприроды России от 12.05.2022 N 331 &quot;О внесении изменения в Правила осуществления мероприятий по предупреждению распространения вредных организмов, утвержденные приказом Минприроды России от 09.11.2020 N 912&quot; (Зарегистрировано в Минюсте России 16.08.2022 N 69660) {КонсультантПлюс}">
        <w:r>
          <w:rPr>
            <w:sz w:val="24"/>
            <w:color w:val="0000ff"/>
          </w:rPr>
          <w:t xml:space="preserve">Приказом</w:t>
        </w:r>
      </w:hyperlink>
      <w:r>
        <w:rPr>
          <w:sz w:val="24"/>
        </w:rPr>
        <w:t xml:space="preserve"> Минприроды России от 12.05.2022 N 331)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&lt;1&gt; </w:t>
      </w:r>
      <w:hyperlink w:history="0" r:id="rId30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4 статьи 115</w:t>
        </w:r>
      </w:hyperlink>
      <w:r>
        <w:rPr>
          <w:sz w:val="24"/>
        </w:rPr>
        <w:t xml:space="preserve">, </w:t>
      </w:r>
      <w:hyperlink w:history="0" r:id="rId31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2 статьи 118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2018, N 53, ст. 8464).</w:t>
      </w:r>
    </w:p>
    <w:p>
      <w:pPr>
        <w:pStyle w:val="0"/>
        <w:jc w:val="both"/>
      </w:pPr>
      <w:r>
        <w:rPr>
          <w:sz w:val="24"/>
        </w:rPr>
        <w:t xml:space="preserve">(сноска введена </w:t>
      </w:r>
      <w:hyperlink w:history="0" r:id="rId32" w:tooltip="Приказ Минприроды России от 12.05.2022 N 331 &quot;О внесении изменения в Правила осуществления мероприятий по предупреждению распространения вредных организмов, утвержденные приказом Минприроды России от 09.11.2020 N 912&quot; (Зарегистрировано в Минюсте России 16.08.2022 N 69660) {КонсультантПлюс}">
        <w:r>
          <w:rPr>
            <w:sz w:val="24"/>
            <w:color w:val="0000ff"/>
          </w:rPr>
          <w:t xml:space="preserve">Приказом</w:t>
        </w:r>
      </w:hyperlink>
      <w:r>
        <w:rPr>
          <w:sz w:val="24"/>
        </w:rPr>
        <w:t xml:space="preserve"> Минприроды России от 12.05.2022 N 331)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58. По результатам осуществления СОМ вносятся изменения в лесной план субъекта Российской Федерации, лесохозяйственный регламент лесничества.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59. При всех видах рубок высота пней не должна превышать 1/3 диаметра среза, а при рубке деревьев тоньше 30 см - не выше 10 см, считая высоту от шейки корня. Высота пней каштана съедобного должна быть на уровне почвы независимо от диаметра дерева.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IV. Другие мероприятия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60. Авиационные работы по защите лесов осуществляются в соответствии с порядком организации и выполнения авиационных работ по защите лесов, устанавливаемым уполномоченным федеральным органом исполнительной власти в соответствии с </w:t>
      </w:r>
      <w:hyperlink w:history="0" r:id="rId33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2 статьи 60.10</w:t>
        </w:r>
      </w:hyperlink>
      <w:r>
        <w:rPr>
          <w:sz w:val="24"/>
        </w:rPr>
        <w:t xml:space="preserve"> Лесного кодекса.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61. Ограничение пребывания граждан в лесах и въезд в них транспортных средств, проведение в лесах определенных видов работ в целях обеспечения санитарной безопасности в лесах осуществляется в порядке, устанавливаемом уполномоченным федеральным органом исполнительной власти в соответствии со </w:t>
      </w:r>
      <w:hyperlink w:history="0" r:id="rId34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статьей 60.9</w:t>
        </w:r>
      </w:hyperlink>
      <w:r>
        <w:rPr>
          <w:sz w:val="24"/>
        </w:rPr>
        <w:t xml:space="preserve"> Лесного кодекса.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62. Рубка аварийных деревьев, агитационные мероприятия осуществляются в соответствии с настоящими Правилами.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Рубка аварийных деревьев проводится в целях недопущения вреда жизни и здоровью граждан или ущерба государственному имуществу и имуществу граждан и юридических лиц и осуществляется уполномоченными органами, а на лесных участках, предоставленных в пользование для осуществления рекреационной деятельности, лицами, использующими лесные участки. Рубка аварийных деревьев проводится в защитных лесах и эксплуатационных лесах, расположенных на расстоянии не более 100 метров от границ населенных пунктов и на лесных участках, предоставленных в пользование для осуществления рекреационной деятельности.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Установление причин повреждения или гибели лесных насаждений, структурных изъянов аварийных деревьев, способных привести к падению всего дерева или его части и причинению ущерба населению или государственному имуществу и имуществу граждан и юридических лиц, осуществляется при натурном осмотре деревьев, по результатам которого составляется акт обследования аварийных деревьев с перечнем деревьев, назначенных в рубку, определением координат каждого дерева и приложением материалов фотофиксации.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Фотофиксация аварийных деревьев должна содержать привязку к местности (координаты) и представляет собой фотоснимок или их серию, фиксирующих структурные изъяны каждого дерева, и должна проводиться в светлое время суток при отсутствии факторов, ограничивающих видимость (туман, дождь, снег, задымление).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Результаты обследования аварийных деревьев утверждаются уполномоченными органами, и в срок не позднее трех рабочих дней со дня утверждения размещаются на официальном сайте органа государственной власти или органа местного самоуправления в информационно-телекоммуникационной сети "Интернет".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Рекомендуемый образец акта обследования аварийных деревьев приведен в </w:t>
      </w:r>
      <w:hyperlink w:history="0" w:anchor="P378" w:tooltip="                                    Акт">
        <w:r>
          <w:rPr>
            <w:sz w:val="24"/>
            <w:color w:val="0000ff"/>
          </w:rPr>
          <w:t xml:space="preserve">приложении 2</w:t>
        </w:r>
      </w:hyperlink>
      <w:r>
        <w:rPr>
          <w:sz w:val="24"/>
        </w:rPr>
        <w:t xml:space="preserve"> к настоящим Правилам.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63. К агитационным мероприятиям относятся: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беседы с населением;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проведение открытых уроков в образовательных учреждениях;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развешивание аншлагов и плакатов;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размещение информационных материалов в средствах массовой информации.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1</w:t>
      </w:r>
    </w:p>
    <w:p>
      <w:pPr>
        <w:pStyle w:val="0"/>
        <w:jc w:val="right"/>
      </w:pPr>
      <w:r>
        <w:rPr>
          <w:sz w:val="24"/>
        </w:rPr>
        <w:t xml:space="preserve">к Правилам осуществления</w:t>
      </w:r>
    </w:p>
    <w:p>
      <w:pPr>
        <w:pStyle w:val="0"/>
        <w:jc w:val="right"/>
      </w:pPr>
      <w:r>
        <w:rPr>
          <w:sz w:val="24"/>
        </w:rPr>
        <w:t xml:space="preserve">мероприятий по предупреждению</w:t>
      </w:r>
    </w:p>
    <w:p>
      <w:pPr>
        <w:pStyle w:val="0"/>
        <w:jc w:val="right"/>
      </w:pPr>
      <w:r>
        <w:rPr>
          <w:sz w:val="24"/>
        </w:rPr>
        <w:t xml:space="preserve">распространения вредных организмов,</w:t>
      </w:r>
    </w:p>
    <w:p>
      <w:pPr>
        <w:pStyle w:val="0"/>
        <w:jc w:val="right"/>
      </w:pPr>
      <w:r>
        <w:rPr>
          <w:sz w:val="24"/>
        </w:rPr>
        <w:t xml:space="preserve">утвержденным приказом</w:t>
      </w:r>
    </w:p>
    <w:p>
      <w:pPr>
        <w:pStyle w:val="0"/>
        <w:jc w:val="right"/>
      </w:pPr>
      <w:r>
        <w:rPr>
          <w:sz w:val="24"/>
        </w:rPr>
        <w:t xml:space="preserve">Минприроды России</w:t>
      </w:r>
    </w:p>
    <w:p>
      <w:pPr>
        <w:pStyle w:val="0"/>
        <w:jc w:val="right"/>
      </w:pPr>
      <w:r>
        <w:rPr>
          <w:sz w:val="24"/>
        </w:rPr>
        <w:t xml:space="preserve">от 09.11.2020 N 912</w:t>
      </w:r>
    </w:p>
    <w:p>
      <w:pPr>
        <w:pStyle w:val="0"/>
        <w:jc w:val="both"/>
      </w:pPr>
      <w:r>
        <w:rPr>
          <w:sz w:val="24"/>
        </w:rPr>
      </w:r>
    </w:p>
    <w:bookmarkStart w:id="177" w:name="P177"/>
    <w:bookmarkEnd w:id="177"/>
    <w:p>
      <w:pPr>
        <w:pStyle w:val="2"/>
        <w:jc w:val="center"/>
      </w:pPr>
      <w:r>
        <w:rPr>
          <w:sz w:val="24"/>
        </w:rPr>
        <w:t xml:space="preserve">МИНИМАЛЬНЫЕ ДОПУСТИМЫЕ ЗНАЧЕНИЯ</w:t>
      </w:r>
    </w:p>
    <w:p>
      <w:pPr>
        <w:pStyle w:val="2"/>
        <w:jc w:val="center"/>
      </w:pPr>
      <w:r>
        <w:rPr>
          <w:sz w:val="24"/>
        </w:rPr>
        <w:t xml:space="preserve">ПОЛНОТЫ, ДО КОТОРЫХ НАЗНАЧАЮТСЯ ВЫБОРОЧНЫЕ САНИТАРНЫЕ РУБКИ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721"/>
        <w:gridCol w:w="782"/>
        <w:gridCol w:w="680"/>
        <w:gridCol w:w="850"/>
        <w:gridCol w:w="955"/>
        <w:gridCol w:w="680"/>
        <w:gridCol w:w="955"/>
        <w:gridCol w:w="1417"/>
      </w:tblGrid>
      <w:tr>
        <w:tc>
          <w:tcPr>
            <w:tcW w:w="272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 использования или категория защитных лесов</w:t>
            </w:r>
          </w:p>
        </w:tc>
        <w:tc>
          <w:tcPr>
            <w:gridSpan w:val="7"/>
            <w:tcW w:w="63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Преобладающая порода</w:t>
            </w:r>
          </w:p>
        </w:tc>
      </w:tr>
      <w:tr>
        <w:tc>
          <w:tcPr>
            <w:vMerge w:val="continue"/>
          </w:tcPr>
          <w:p/>
        </w:tc>
        <w:tc>
          <w:tcPr>
            <w:tcW w:w="7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Ель, пихта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Кедр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Сосна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Лиственница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Дуб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Каштан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Береза и прочие лиственные</w:t>
            </w:r>
          </w:p>
        </w:tc>
      </w:tr>
      <w:tr>
        <w:tc>
          <w:tcPr>
            <w:gridSpan w:val="8"/>
            <w:tcW w:w="9040" w:type="dxa"/>
          </w:tcPr>
          <w:p>
            <w:pPr>
              <w:pStyle w:val="0"/>
              <w:outlineLvl w:val="2"/>
              <w:jc w:val="center"/>
            </w:pPr>
            <w:r>
              <w:rPr>
                <w:sz w:val="24"/>
              </w:rPr>
              <w:t xml:space="preserve">Резервные леса</w:t>
            </w:r>
          </w:p>
        </w:tc>
      </w:tr>
      <w:tr>
        <w:tc>
          <w:tcPr>
            <w:tcW w:w="2721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Нет</w:t>
            </w:r>
          </w:p>
        </w:tc>
        <w:tc>
          <w:tcPr>
            <w:tcW w:w="7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</w:tr>
      <w:tr>
        <w:tc>
          <w:tcPr>
            <w:gridSpan w:val="8"/>
            <w:tcW w:w="9040" w:type="dxa"/>
          </w:tcPr>
          <w:p>
            <w:pPr>
              <w:pStyle w:val="0"/>
              <w:outlineLvl w:val="2"/>
              <w:jc w:val="center"/>
            </w:pPr>
            <w:r>
              <w:rPr>
                <w:sz w:val="24"/>
              </w:rPr>
              <w:t xml:space="preserve">Эксплуатационные леса</w:t>
            </w:r>
          </w:p>
        </w:tc>
      </w:tr>
      <w:tr>
        <w:tc>
          <w:tcPr>
            <w:tcW w:w="2721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Заготовка древесины</w:t>
            </w:r>
          </w:p>
        </w:tc>
        <w:tc>
          <w:tcPr>
            <w:tcW w:w="7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</w:tr>
      <w:tr>
        <w:tc>
          <w:tcPr>
            <w:tcW w:w="2721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Заготовка живицы</w:t>
            </w:r>
          </w:p>
        </w:tc>
        <w:tc>
          <w:tcPr>
            <w:tcW w:w="7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2721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Заготовка и сбор недревесных ресурсов</w:t>
            </w:r>
          </w:p>
        </w:tc>
        <w:tc>
          <w:tcPr>
            <w:tcW w:w="7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</w:tr>
      <w:tr>
        <w:tc>
          <w:tcPr>
            <w:tcW w:w="2721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Заготовка пищевых лесных ресурсов и сбор лекарственных растений</w:t>
            </w:r>
          </w:p>
        </w:tc>
        <w:tc>
          <w:tcPr>
            <w:tcW w:w="7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</w:tr>
      <w:tr>
        <w:tc>
          <w:tcPr>
            <w:tcW w:w="2721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Научно-исследовательская и образовательная деятельность</w:t>
            </w:r>
          </w:p>
        </w:tc>
        <w:tc>
          <w:tcPr>
            <w:gridSpan w:val="7"/>
            <w:tcW w:w="63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лимитируется</w:t>
            </w:r>
          </w:p>
        </w:tc>
      </w:tr>
      <w:tr>
        <w:tc>
          <w:tcPr>
            <w:tcW w:w="2721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Осуществление рекреационной деятельности</w:t>
            </w:r>
          </w:p>
        </w:tc>
        <w:tc>
          <w:tcPr>
            <w:tcW w:w="7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</w:tr>
      <w:tr>
        <w:tc>
          <w:tcPr>
            <w:tcW w:w="2721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Эксплуатация лесных плантаций</w:t>
            </w:r>
          </w:p>
        </w:tc>
        <w:tc>
          <w:tcPr>
            <w:gridSpan w:val="7"/>
            <w:tcW w:w="63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лимитируется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721"/>
        <w:gridCol w:w="782"/>
        <w:gridCol w:w="680"/>
        <w:gridCol w:w="850"/>
        <w:gridCol w:w="955"/>
        <w:gridCol w:w="680"/>
        <w:gridCol w:w="955"/>
        <w:gridCol w:w="1417"/>
      </w:tblGrid>
      <w:tr>
        <w:tc>
          <w:tcPr>
            <w:tcW w:w="2721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Прочие виды использования</w:t>
            </w:r>
          </w:p>
        </w:tc>
        <w:tc>
          <w:tcPr>
            <w:tcW w:w="7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</w:tr>
      <w:tr>
        <w:tc>
          <w:tcPr>
            <w:gridSpan w:val="8"/>
            <w:tcW w:w="9040" w:type="dxa"/>
          </w:tcPr>
          <w:p>
            <w:pPr>
              <w:pStyle w:val="0"/>
              <w:outlineLvl w:val="2"/>
              <w:jc w:val="center"/>
            </w:pPr>
            <w:r>
              <w:rPr>
                <w:sz w:val="24"/>
              </w:rPr>
              <w:t xml:space="preserve">Защитные леса</w:t>
            </w:r>
          </w:p>
        </w:tc>
      </w:tr>
      <w:tr>
        <w:tc>
          <w:tcPr>
            <w:tcW w:w="2721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1. Леса, расположенные в водоохранных зонах</w:t>
            </w:r>
          </w:p>
        </w:tc>
        <w:tc>
          <w:tcPr>
            <w:gridSpan w:val="7"/>
            <w:tcW w:w="63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лимитируется для дуба, каштана и кедра, для остальных пород 0,3</w:t>
            </w:r>
          </w:p>
        </w:tc>
      </w:tr>
      <w:tr>
        <w:tc>
          <w:tcPr>
            <w:tcW w:w="2721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2. Леса, выполняющие функции защиты природных и иных объектов: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а) леса, расположенные в первом и втором поясах зон санитарной охраны источников питьевого и хозяйственно-бытового водоснабжения (леса, расположенные в границах соответствующих поясов зон санитарной охраны источников питьевого и хозяйственно-бытового водоснабжения, установленных в соответствии с требованиями законодательства в области обеспечения санитарно-эпидемиологического благополучия населения);</w:t>
            </w:r>
          </w:p>
        </w:tc>
        <w:tc>
          <w:tcPr>
            <w:tcW w:w="7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721"/>
        <w:gridCol w:w="782"/>
        <w:gridCol w:w="680"/>
        <w:gridCol w:w="850"/>
        <w:gridCol w:w="955"/>
        <w:gridCol w:w="680"/>
        <w:gridCol w:w="955"/>
        <w:gridCol w:w="1417"/>
      </w:tblGrid>
      <w:tr>
        <w:tc>
          <w:tcPr>
            <w:tcW w:w="2721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б) леса, расположенные в защитных полосах лесов (леса, расположенные в границах полос отвода железных дорог и придорожных полос автомобильных дорог, установленных в соответствии с законодательством Российской Федерации о железнодорожном транспорте, законодательством об автомобильных дорогах и о дорожной деятельности);</w:t>
            </w:r>
          </w:p>
        </w:tc>
        <w:tc>
          <w:tcPr>
            <w:tcW w:w="7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</w:tr>
      <w:tr>
        <w:tc>
          <w:tcPr>
            <w:tcW w:w="2721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в) леса, расположенные в зеленых зонах (леса, расположенные на землях лесного фонда и землях иных категорий, выделяемые в целях обеспечения защиты населения от воздействия неблагоприятных явлений природного и техногенного происхождения, сохранения и восстановления окружающей среды);</w:t>
            </w:r>
          </w:p>
        </w:tc>
        <w:tc>
          <w:tcPr>
            <w:tcW w:w="7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</w:tr>
      <w:tr>
        <w:tc>
          <w:tcPr>
            <w:tcW w:w="2721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г) леса, расположенные в лесопарковых зонах (леса, расположенные на землях лесного фонда и землях иных категорий, используемые в целях организации отдыха населения, сохранения санитарно-гигиенической, оздоровительной функций и эстетической ценности природных ландшафтов);</w:t>
            </w:r>
          </w:p>
        </w:tc>
        <w:tc>
          <w:tcPr>
            <w:tcW w:w="7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</w:tr>
      <w:tr>
        <w:tc>
          <w:tcPr>
            <w:tcW w:w="2721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д) горно-санитарные леса (леса, расположенные в границах зон округов санитарной (горно-санитарной) охраны лечебно-оздоровительных местностей и курортов, установленных в соответствии с законодательством Российской Федерации о природных лечебных ресурсах, лечебно-оздоровительных местностях и курортах).</w:t>
            </w:r>
          </w:p>
        </w:tc>
        <w:tc>
          <w:tcPr>
            <w:tcW w:w="7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</w:tr>
      <w:tr>
        <w:tc>
          <w:tcPr>
            <w:tcW w:w="2721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3. Ценные леса: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а) государственные защитные лесные полосы (леса линейного типа, искусственно созданные в лесостепных, степных зонах, зонах полупустынь и пустынь, выполняющие климаторегулирующие, почвозащитные, противоэрозионные и водорегулирующие функции);</w:t>
            </w:r>
          </w:p>
        </w:tc>
        <w:tc>
          <w:tcPr>
            <w:tcW w:w="7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</w:tr>
      <w:tr>
        <w:tc>
          <w:tcPr>
            <w:tcW w:w="2721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б) противоэрозионные леса (леса, предназначенные для охраны земель от эрозии)</w:t>
            </w:r>
          </w:p>
        </w:tc>
        <w:tc>
          <w:tcPr>
            <w:tcW w:w="7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</w:tr>
      <w:tr>
        <w:tc>
          <w:tcPr>
            <w:tcW w:w="2721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в) пустынные, полупустынные леса (леса, расположенные в зоне полупустынь и пустынь, выполняющие защитные функции);</w:t>
            </w:r>
          </w:p>
        </w:tc>
        <w:tc>
          <w:tcPr>
            <w:gridSpan w:val="7"/>
            <w:tcW w:w="63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лимитируется для пустынных, полупустынных и малолесных горных территорий. В остальных случаях - 0,3 для всех пород</w:t>
            </w:r>
          </w:p>
        </w:tc>
      </w:tr>
      <w:tr>
        <w:tc>
          <w:tcPr>
            <w:tcW w:w="2721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г) леса, имеющие научное или историко-культурное значение (леса, расположенные на землях историко-культурного назначения и в зонах охраны объектов культурного наследия, леса, являющиеся объектами исследований генетических качеств деревьев, кустарников и лиан (генетические резерваты), образцами достижений лесохозяйственной науки и практики, а также уникальные по продуктивности леса);</w:t>
            </w:r>
          </w:p>
        </w:tc>
        <w:tc>
          <w:tcPr>
            <w:tcW w:w="7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</w:tr>
      <w:tr>
        <w:tc>
          <w:tcPr>
            <w:tcW w:w="2721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д) леса, расположенные в орехово-промысловых зонах (леса, являющиеся сырьевой базой для заготовки кедровых орехов);</w:t>
            </w:r>
          </w:p>
        </w:tc>
        <w:tc>
          <w:tcPr>
            <w:gridSpan w:val="7"/>
            <w:tcW w:w="63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лимитируется</w:t>
            </w:r>
          </w:p>
        </w:tc>
      </w:tr>
      <w:tr>
        <w:tc>
          <w:tcPr>
            <w:tcW w:w="2721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е) лесные плодовые насаждения (леса, в составе которых произрастают ценные плодово-ягодные и орехоплодные породы деревьев и кустарников)</w:t>
            </w:r>
          </w:p>
        </w:tc>
        <w:tc>
          <w:tcPr>
            <w:gridSpan w:val="7"/>
            <w:tcW w:w="6319" w:type="dxa"/>
          </w:tcPr>
          <w:p>
            <w:pPr>
              <w:pStyle w:val="0"/>
            </w:pPr>
            <w:r>
              <w:rPr>
                <w:sz w:val="24"/>
              </w:rPr>
              <w:t xml:space="preserve">Не лимитируется</w:t>
            </w:r>
          </w:p>
        </w:tc>
      </w:tr>
      <w:tr>
        <w:tc>
          <w:tcPr>
            <w:tcW w:w="2721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ж) ленточные боры (леса, исторически сформировавшиеся в жестких почвенно-климатических условиях среди безлесных степных, полупустынных и пустынных пространств, имеющие важное климаторегулирующее, почвозащитное и водоохранное значение);</w:t>
            </w:r>
          </w:p>
        </w:tc>
        <w:tc>
          <w:tcPr>
            <w:tcW w:w="7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</w:tr>
      <w:tr>
        <w:tc>
          <w:tcPr>
            <w:tcW w:w="2721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з) запретные полосы лесов, расположенные вдоль водных объектов (леса, примыкающие непосредственно к руслу реки или берегу другого водного объекта, а при безлесной пойме - к пойме реки, выполняющие водорегулирующие функции);</w:t>
            </w:r>
          </w:p>
        </w:tc>
        <w:tc>
          <w:tcPr>
            <w:tcW w:w="7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</w:tr>
      <w:tr>
        <w:tc>
          <w:tcPr>
            <w:tcW w:w="2721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и) нерестоохранные полосы лесов (леса, расположенные в границах рыбоохранных зон или рыбохозяйственных заповедных зон, установленных в соответствии с законодательством о рыболовстве и сохранении водных биологических ресурсов).</w:t>
            </w:r>
          </w:p>
        </w:tc>
        <w:tc>
          <w:tcPr>
            <w:tcW w:w="7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</w:tr>
      <w:tr>
        <w:tc>
          <w:tcPr>
            <w:tcW w:w="2721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4. Городские леса</w:t>
            </w:r>
          </w:p>
        </w:tc>
        <w:tc>
          <w:tcPr>
            <w:tcW w:w="7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</w:tr>
      <w:tr>
        <w:tc>
          <w:tcPr>
            <w:tcW w:w="2721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5. Особо защитные участки лесов</w:t>
            </w:r>
          </w:p>
        </w:tc>
        <w:tc>
          <w:tcPr>
            <w:gridSpan w:val="7"/>
            <w:tcW w:w="63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лимитируется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2</w:t>
      </w:r>
    </w:p>
    <w:p>
      <w:pPr>
        <w:pStyle w:val="0"/>
        <w:jc w:val="right"/>
      </w:pPr>
      <w:r>
        <w:rPr>
          <w:sz w:val="24"/>
        </w:rPr>
        <w:t xml:space="preserve">к Правилам осуществления</w:t>
      </w:r>
    </w:p>
    <w:p>
      <w:pPr>
        <w:pStyle w:val="0"/>
        <w:jc w:val="right"/>
      </w:pPr>
      <w:r>
        <w:rPr>
          <w:sz w:val="24"/>
        </w:rPr>
        <w:t xml:space="preserve">мероприятий по предупреждению</w:t>
      </w:r>
    </w:p>
    <w:p>
      <w:pPr>
        <w:pStyle w:val="0"/>
        <w:jc w:val="right"/>
      </w:pPr>
      <w:r>
        <w:rPr>
          <w:sz w:val="24"/>
        </w:rPr>
        <w:t xml:space="preserve">распространения вредных организмов,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приказом Минприроды России</w:t>
      </w:r>
    </w:p>
    <w:p>
      <w:pPr>
        <w:pStyle w:val="0"/>
        <w:jc w:val="right"/>
      </w:pPr>
      <w:r>
        <w:rPr>
          <w:sz w:val="24"/>
        </w:rPr>
        <w:t xml:space="preserve">от 09.11.2020 N 912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рекомендуемый образец</w:t>
      </w:r>
    </w:p>
    <w:p>
      <w:pPr>
        <w:pStyle w:val="0"/>
        <w:jc w:val="both"/>
      </w:pPr>
      <w:r>
        <w:rPr>
          <w:sz w:val="24"/>
        </w:rPr>
      </w:r>
    </w:p>
    <w:bookmarkStart w:id="378" w:name="P378"/>
    <w:bookmarkEnd w:id="378"/>
    <w:p>
      <w:pPr>
        <w:pStyle w:val="1"/>
        <w:jc w:val="both"/>
      </w:pPr>
      <w:r>
        <w:rPr>
          <w:sz w:val="20"/>
        </w:rPr>
        <w:t xml:space="preserve">                                    Акт</w:t>
      </w:r>
    </w:p>
    <w:p>
      <w:pPr>
        <w:pStyle w:val="1"/>
        <w:jc w:val="both"/>
      </w:pPr>
      <w:r>
        <w:rPr>
          <w:sz w:val="20"/>
        </w:rPr>
        <w:t xml:space="preserve">                   обследования аварийных деревьев N ___</w:t>
      </w:r>
    </w:p>
    <w:p>
      <w:pPr>
        <w:pStyle w:val="1"/>
        <w:jc w:val="both"/>
      </w:pPr>
      <w:r>
        <w:rPr>
          <w:sz w:val="20"/>
        </w:rPr>
        <w:t xml:space="preserve">               лесных насаждений ______________ лесничества,</w:t>
      </w:r>
    </w:p>
    <w:p>
      <w:pPr>
        <w:pStyle w:val="1"/>
        <w:jc w:val="both"/>
      </w:pPr>
      <w:r>
        <w:rPr>
          <w:sz w:val="20"/>
        </w:rPr>
        <w:t xml:space="preserve">             __________________ (субъект Российской Федерации)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Место проведения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175"/>
        <w:gridCol w:w="1928"/>
        <w:gridCol w:w="2154"/>
        <w:gridCol w:w="1814"/>
      </w:tblGrid>
      <w:tr>
        <w:tc>
          <w:tcPr>
            <w:tcW w:w="31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Участковое лесничество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Урочище (дача)</w:t>
            </w:r>
          </w:p>
        </w:tc>
        <w:tc>
          <w:tcPr>
            <w:tcW w:w="21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Квартал (кварталы)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Выдел (выделы)</w:t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17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  Перечетная ведомость</w:t>
      </w:r>
    </w:p>
    <w:p>
      <w:pPr>
        <w:pStyle w:val="1"/>
        <w:jc w:val="both"/>
      </w:pPr>
      <w:r>
        <w:rPr>
          <w:sz w:val="20"/>
        </w:rPr>
        <w:t xml:space="preserve">                  аварийных деревьев, назначаемых в рубку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21"/>
        <w:gridCol w:w="1474"/>
        <w:gridCol w:w="912"/>
        <w:gridCol w:w="984"/>
        <w:gridCol w:w="1123"/>
        <w:gridCol w:w="749"/>
        <w:gridCol w:w="1644"/>
        <w:gridCol w:w="1361"/>
      </w:tblGrid>
      <w:tr>
        <w:tc>
          <w:tcPr>
            <w:tcW w:w="8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дерева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Координаты</w:t>
            </w:r>
          </w:p>
        </w:tc>
        <w:tc>
          <w:tcPr>
            <w:tcW w:w="91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Порода</w:t>
            </w:r>
          </w:p>
        </w:tc>
        <w:tc>
          <w:tcPr>
            <w:tcW w:w="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Высота, м</w:t>
            </w:r>
          </w:p>
        </w:tc>
        <w:tc>
          <w:tcPr>
            <w:tcW w:w="11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Диаметр, см</w:t>
            </w:r>
          </w:p>
        </w:tc>
        <w:tc>
          <w:tcPr>
            <w:tcW w:w="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Запас, куб. м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Структурные изъяны, характеризующие аварийность дерева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Сроки проведения мероприятия</w:t>
            </w:r>
          </w:p>
        </w:tc>
      </w:tr>
      <w:tr>
        <w:tc>
          <w:tcPr>
            <w:tcW w:w="8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91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7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</w:tr>
      <w:tr>
        <w:tc>
          <w:tcPr>
            <w:tcW w:w="82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4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82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4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82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4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Исполнитель работ по проведению обследования аварийных деревьев: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Фамилия, имя и отчество (при наличии) 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Подпись 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Дата составления документа _____________________ Телефон 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ЗАКЛЮЧЕНИЕ</w:t>
      </w:r>
    </w:p>
    <w:p>
      <w:pPr>
        <w:pStyle w:val="1"/>
        <w:jc w:val="both"/>
      </w:pPr>
      <w:r>
        <w:rPr>
          <w:sz w:val="20"/>
        </w:rPr>
        <w:t xml:space="preserve">С  целью  предотвращения негативных процессов или  снижения  ущерба  от  их</w:t>
      </w:r>
    </w:p>
    <w:p>
      <w:pPr>
        <w:pStyle w:val="1"/>
        <w:jc w:val="both"/>
      </w:pPr>
      <w:r>
        <w:rPr>
          <w:sz w:val="20"/>
        </w:rPr>
        <w:t xml:space="preserve">воздействия: ______________________________________________________________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09.11.2020 N 912</w:t>
            <w:br/>
            <w:t>(ред. от 12.05.2022)</w:t>
            <w:br/>
            <w:t>"Об утверждении Правил осуществления мероприятий по пр...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25.02.2026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s://login.consultant.ru/link/?req=doc&amp;base=LAW&amp;n=424535&amp;date=25.02.2026&amp;dst=100006&amp;field=134" TargetMode = "External"/><Relationship Id="rId9" Type="http://schemas.openxmlformats.org/officeDocument/2006/relationships/hyperlink" Target="https://login.consultant.ru/link/?req=doc&amp;base=LAW&amp;n=523312&amp;date=25.02.2026&amp;dst=389&amp;field=134" TargetMode = "External"/><Relationship Id="rId10" Type="http://schemas.openxmlformats.org/officeDocument/2006/relationships/hyperlink" Target="https://login.consultant.ru/link/?req=doc&amp;base=LAW&amp;n=500820&amp;date=25.02.2026&amp;dst=15&amp;field=134" TargetMode = "External"/><Relationship Id="rId11" Type="http://schemas.openxmlformats.org/officeDocument/2006/relationships/hyperlink" Target="https://login.consultant.ru/link/?req=doc&amp;base=LAW&amp;n=424535&amp;date=25.02.2026&amp;dst=100006&amp;field=134" TargetMode = "External"/><Relationship Id="rId12" Type="http://schemas.openxmlformats.org/officeDocument/2006/relationships/hyperlink" Target="https://login.consultant.ru/link/?req=doc&amp;base=LAW&amp;n=523312&amp;date=25.02.2026&amp;dst=379&amp;field=134" TargetMode = "External"/><Relationship Id="rId13" Type="http://schemas.openxmlformats.org/officeDocument/2006/relationships/hyperlink" Target="https://login.consultant.ru/link/?req=doc&amp;base=LAW&amp;n=523312&amp;date=25.02.2026&amp;dst=100478&amp;field=134" TargetMode = "External"/><Relationship Id="rId14" Type="http://schemas.openxmlformats.org/officeDocument/2006/relationships/hyperlink" Target="https://login.consultant.ru/link/?req=doc&amp;base=LAW&amp;n=523312&amp;date=25.02.2026&amp;dst=100562&amp;field=134" TargetMode = "External"/><Relationship Id="rId15" Type="http://schemas.openxmlformats.org/officeDocument/2006/relationships/hyperlink" Target="https://login.consultant.ru/link/?req=doc&amp;base=LAW&amp;n=523312&amp;date=25.02.2026&amp;dst=365&amp;field=134" TargetMode = "External"/><Relationship Id="rId16" Type="http://schemas.openxmlformats.org/officeDocument/2006/relationships/hyperlink" Target="https://login.consultant.ru/link/?req=doc&amp;base=LAW&amp;n=523312&amp;date=25.02.2026&amp;dst=838&amp;field=134" TargetMode = "External"/><Relationship Id="rId17" Type="http://schemas.openxmlformats.org/officeDocument/2006/relationships/hyperlink" Target="https://login.consultant.ru/link/?req=doc&amp;base=LAW&amp;n=523312&amp;date=25.02.2026&amp;dst=100994&amp;field=134" TargetMode = "External"/><Relationship Id="rId18" Type="http://schemas.openxmlformats.org/officeDocument/2006/relationships/hyperlink" Target="https://login.consultant.ru/link/?req=doc&amp;base=LAW&amp;n=523312&amp;date=25.02.2026&amp;dst=376&amp;field=134" TargetMode = "External"/><Relationship Id="rId19" Type="http://schemas.openxmlformats.org/officeDocument/2006/relationships/hyperlink" Target="https://login.consultant.ru/link/?req=doc&amp;base=LAW&amp;n=523312&amp;date=25.02.2026&amp;dst=385&amp;field=134" TargetMode = "External"/><Relationship Id="rId20" Type="http://schemas.openxmlformats.org/officeDocument/2006/relationships/hyperlink" Target="https://login.consultant.ru/link/?req=doc&amp;base=LAW&amp;n=523312&amp;date=25.02.2026&amp;dst=849&amp;field=134" TargetMode = "External"/><Relationship Id="rId21" Type="http://schemas.openxmlformats.org/officeDocument/2006/relationships/hyperlink" Target="https://login.consultant.ru/link/?req=doc&amp;base=LAW&amp;n=389684&amp;date=25.02.2026&amp;dst=952&amp;field=134" TargetMode = "External"/><Relationship Id="rId22" Type="http://schemas.openxmlformats.org/officeDocument/2006/relationships/hyperlink" Target="https://login.consultant.ru/link/?req=doc&amp;base=LAW&amp;n=523312&amp;date=25.02.2026&amp;dst=1415&amp;field=134" TargetMode = "External"/><Relationship Id="rId23" Type="http://schemas.openxmlformats.org/officeDocument/2006/relationships/hyperlink" Target="https://login.consultant.ru/link/?req=doc&amp;base=LAW&amp;n=433120&amp;date=25.02.2026&amp;dst=100010&amp;field=134" TargetMode = "External"/><Relationship Id="rId24" Type="http://schemas.openxmlformats.org/officeDocument/2006/relationships/hyperlink" Target="https://login.consultant.ru/link/?req=doc&amp;base=LAW&amp;n=523312&amp;date=25.02.2026&amp;dst=952&amp;field=134" TargetMode = "External"/><Relationship Id="rId25" Type="http://schemas.openxmlformats.org/officeDocument/2006/relationships/hyperlink" Target="https://login.consultant.ru/link/?req=doc&amp;base=LAW&amp;n=389684&amp;date=25.02.2026&amp;dst=228&amp;field=134" TargetMode = "External"/><Relationship Id="rId26" Type="http://schemas.openxmlformats.org/officeDocument/2006/relationships/hyperlink" Target="https://login.consultant.ru/link/?req=doc&amp;base=LAW&amp;n=523312&amp;date=25.02.2026&amp;dst=1411&amp;field=134" TargetMode = "External"/><Relationship Id="rId27" Type="http://schemas.openxmlformats.org/officeDocument/2006/relationships/hyperlink" Target="https://login.consultant.ru/link/?req=doc&amp;base=LAW&amp;n=523312&amp;date=25.02.2026&amp;dst=228&amp;field=134" TargetMode = "External"/><Relationship Id="rId28" Type="http://schemas.openxmlformats.org/officeDocument/2006/relationships/hyperlink" Target="https://login.consultant.ru/link/?req=doc&amp;base=LAW&amp;n=364560&amp;date=25.02.2026&amp;dst=100009&amp;field=134" TargetMode = "External"/><Relationship Id="rId29" Type="http://schemas.openxmlformats.org/officeDocument/2006/relationships/hyperlink" Target="https://login.consultant.ru/link/?req=doc&amp;base=LAW&amp;n=424535&amp;date=25.02.2026&amp;dst=100006&amp;field=134" TargetMode = "External"/><Relationship Id="rId30" Type="http://schemas.openxmlformats.org/officeDocument/2006/relationships/hyperlink" Target="https://login.consultant.ru/link/?req=doc&amp;base=LAW&amp;n=523312&amp;date=25.02.2026&amp;dst=1066&amp;field=134" TargetMode = "External"/><Relationship Id="rId31" Type="http://schemas.openxmlformats.org/officeDocument/2006/relationships/hyperlink" Target="https://login.consultant.ru/link/?req=doc&amp;base=LAW&amp;n=523312&amp;date=25.02.2026&amp;dst=1081&amp;field=134" TargetMode = "External"/><Relationship Id="rId32" Type="http://schemas.openxmlformats.org/officeDocument/2006/relationships/hyperlink" Target="https://login.consultant.ru/link/?req=doc&amp;base=LAW&amp;n=424535&amp;date=25.02.2026&amp;dst=100009&amp;field=134" TargetMode = "External"/><Relationship Id="rId33" Type="http://schemas.openxmlformats.org/officeDocument/2006/relationships/hyperlink" Target="https://login.consultant.ru/link/?req=doc&amp;base=LAW&amp;n=523312&amp;date=25.02.2026&amp;dst=408&amp;field=134" TargetMode = "External"/><Relationship Id="rId34" Type="http://schemas.openxmlformats.org/officeDocument/2006/relationships/hyperlink" Target="https://login.consultant.ru/link/?req=doc&amp;base=LAW&amp;n=523312&amp;date=25.02.2026&amp;dst=399&amp;field=134" TargetMode = "Externa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Минприроды России от 09.11.2020 N 912
(ред. от 12.05.2022)
"Об утверждении Правил осуществления мероприятий по предупреждению распространения вредных организмов"
(Зарегистрировано в Минюсте России 16.12.2020 N 61509)</dc:title>
  <dcterms:created xsi:type="dcterms:W3CDTF">2026-02-25T08:08:55Z</dcterms:created>
</cp:coreProperties>
</file>